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sz w:val="24"/>
          <w:szCs w:val="24"/>
        </w:rPr>
        <w:t xml:space="preserve">IN THE CROWN COURT AT CAMBRIDGE</w:t>
      </w:r>
    </w:p>
    <w:p>
      <w:pPr>
        <w:spacing w:after="120"/>
        <w:jc w:val="center"/>
      </w:pPr>
      <w:r>
        <w:rPr>
          <w:rFonts w:ascii="Arial" w:cs="Arial" w:eastAsia="Arial" w:hAnsi="Arial"/>
          <w:b w:val="false"/>
          <w:bCs w:val="false"/>
          <w:sz w:val="22"/>
          <w:szCs w:val="22"/>
        </w:rPr>
        <w:t xml:space="preserve">R v ROCKY MARK ALBERONE — T20140175 — URN 35CH0096313</w:t>
      </w:r>
    </w:p>
    <w:p>
      <w:pPr>
        <w:spacing w:after="120"/>
        <w:jc w:val="center"/>
      </w:pPr>
      <w:r>
        <w:rPr>
          <w:rFonts w:ascii="Arial" w:cs="Arial" w:eastAsia="Arial" w:hAnsi="Arial"/>
          <w:b/>
          <w:bCs/>
          <w:sz w:val="24"/>
          <w:szCs w:val="24"/>
        </w:rPr>
        <w:t xml:space="preserve">DEFENDANT'S SKELETON ARGUMENT</w:t>
      </w:r>
    </w:p>
    <w:p>
      <w:pPr>
        <w:spacing w:after="120"/>
        <w:jc w:val="center"/>
      </w:pPr>
      <w:r>
        <w:rPr>
          <w:rFonts w:ascii="Arial" w:cs="Arial" w:eastAsia="Arial" w:hAnsi="Arial"/>
          <w:b w:val="false"/>
          <w:bCs w:val="false"/>
          <w:sz w:val="22"/>
          <w:szCs w:val="22"/>
        </w:rPr>
        <w:t xml:space="preserve">Application to discharge the SHPO of 26 February 2015, and response to the Crown's application to vary</w:t>
      </w:r>
    </w:p>
    <w:p>
      <w:pPr>
        <w:spacing w:after="120"/>
        <w:jc w:val="center"/>
      </w:pPr>
      <w:r>
        <w:rPr>
          <w:rFonts w:ascii="Arial" w:cs="Arial" w:eastAsia="Arial" w:hAnsi="Arial"/>
          <w:b w:val="false"/>
          <w:bCs w:val="false"/>
          <w:sz w:val="22"/>
          <w:szCs w:val="22"/>
        </w:rPr>
        <w:t xml:space="preserve">Hearing: 21 September 2026 (2 hours) — Filed pursuant to the direction of HHJ Grey of 14 August 2026</w:t>
      </w:r>
    </w:p>
    <w:p>
      <w:pPr>
        <w:spacing w:after="120" w:before="240"/>
      </w:pPr>
      <w:r>
        <w:rPr>
          <w:rFonts w:ascii="Arial" w:cs="Arial" w:eastAsia="Arial" w:hAnsi="Arial"/>
          <w:b/>
          <w:bCs/>
          <w:sz w:val="22"/>
          <w:szCs w:val="22"/>
        </w:rPr>
        <w:t xml:space="preserve">A. The application and the documents</w:t>
      </w:r>
    </w:p>
    <w:p>
      <w:pPr>
        <w:spacing w:after="160"/>
      </w:pPr>
      <w:r>
        <w:rPr>
          <w:rFonts w:ascii="Arial" w:cs="Arial" w:eastAsia="Arial" w:hAnsi="Arial"/>
          <w:b w:val="false"/>
          <w:bCs w:val="false"/>
          <w:sz w:val="22"/>
          <w:szCs w:val="22"/>
        </w:rPr>
        <w:t xml:space="preserve">1. I apply to discharge the SHPO imposed on 26 February 2015, which runs "until further order." I do not reopen my conviction; I accept what I did and why the order was made. My grounds are set out in my application of 9 February 2026, which I rely on in full and ask the court to read. My documentary submission (64 items) was served on 8 May 2026.</w:t>
      </w:r>
    </w:p>
    <w:p>
      <w:pPr>
        <w:spacing w:after="160"/>
      </w:pPr>
      <w:r>
        <w:rPr>
          <w:rFonts w:ascii="Arial" w:cs="Arial" w:eastAsia="Arial" w:hAnsi="Arial"/>
          <w:b w:val="false"/>
          <w:bCs w:val="false"/>
          <w:sz w:val="22"/>
          <w:szCs w:val="22"/>
        </w:rPr>
        <w:t xml:space="preserve">2. This skeleton responds to: the Crown's skeleton argument dated 21 August 2026 (served 27 August; the direction was 24 August); the Crown's application to vary the SHPO under section 103E; and DC Cummings' statements of 6 April 2026 and 25 August 2026. I intend to cross-examine DC Cummings on both statements.</w:t>
      </w:r>
    </w:p>
    <w:p>
      <w:pPr>
        <w:spacing w:after="160"/>
      </w:pPr>
      <w:r>
        <w:rPr>
          <w:rFonts w:ascii="Arial" w:cs="Arial" w:eastAsia="Arial" w:hAnsi="Arial"/>
          <w:b w:val="false"/>
          <w:bCs w:val="false"/>
          <w:sz w:val="22"/>
          <w:szCs w:val="22"/>
        </w:rPr>
        <w:t xml:space="preserve">3. The 64 items answer the portrayal of me as someone who has not sought help, changed, or addressed risk. The contemporaneous medical and psychological record shows the origin of my difficulties, their long misattribution to a "personality disorder", and the eventual correct diagnosis. In most situations in my life I have not disputed my words or actions — only the motives attributed to them. Together with my faith in the Lord Jesus, sustained help-seeking, and self-maintained sobriety, that record is evidence of change, stability and self-management.</w:t>
      </w:r>
    </w:p>
    <w:p>
      <w:pPr>
        <w:spacing w:after="120" w:before="240"/>
      </w:pPr>
      <w:r>
        <w:rPr>
          <w:rFonts w:ascii="Arial" w:cs="Arial" w:eastAsia="Arial" w:hAnsi="Arial"/>
          <w:b/>
          <w:bCs/>
          <w:sz w:val="22"/>
          <w:szCs w:val="22"/>
        </w:rPr>
        <w:t xml:space="preserve">B. The legal test</w:t>
      </w:r>
    </w:p>
    <w:p>
      <w:pPr>
        <w:spacing w:after="160"/>
      </w:pPr>
      <w:r>
        <w:rPr>
          <w:rFonts w:ascii="Arial" w:cs="Arial" w:eastAsia="Arial" w:hAnsi="Arial"/>
          <w:b w:val="false"/>
          <w:bCs w:val="false"/>
          <w:sz w:val="22"/>
          <w:szCs w:val="22"/>
        </w:rPr>
        <w:t xml:space="preserve">4. The burden is on me to identify what has changed and why it justifies discharge (Crim PR 31.5). The question is the Crown's own: whether the order remains necessary and proportionate to protect the public from sexual harm. An SHPO is preventative, not punitive; it must be justified by present and future risk on the evidence, not the historic fact of conviction. "Until further order" is not permanent by default.</w:t>
      </w:r>
    </w:p>
    <w:p>
      <w:pPr>
        <w:spacing w:after="160"/>
      </w:pPr>
      <w:r>
        <w:rPr>
          <w:rFonts w:ascii="Arial" w:cs="Arial" w:eastAsia="Arial" w:hAnsi="Arial"/>
          <w:b w:val="false"/>
          <w:bCs w:val="false"/>
          <w:sz w:val="22"/>
          <w:szCs w:val="22"/>
        </w:rPr>
        <w:t xml:space="preserve">5. The same test governs the Crown's application to vary. Under R v Smith [2011] EWCA Crim 1772 and R v Parsons [2017] EWCA Crim 2163, necessity is the starting point, every term must be tailored to the facts, must not be oppressive, and must be proportionate overall. The burden of justifying each new term is on the Crown.</w:t>
      </w:r>
    </w:p>
    <w:p>
      <w:pPr>
        <w:spacing w:after="120" w:before="240"/>
      </w:pPr>
      <w:r>
        <w:rPr>
          <w:rFonts w:ascii="Arial" w:cs="Arial" w:eastAsia="Arial" w:hAnsi="Arial"/>
          <w:b/>
          <w:bCs/>
          <w:sz w:val="22"/>
          <w:szCs w:val="22"/>
        </w:rPr>
        <w:t xml:space="preserve">C. Response to the Crown's skeleton (opposition to discharge)</w:t>
      </w:r>
    </w:p>
    <w:p>
      <w:pPr>
        <w:spacing w:after="160"/>
      </w:pPr>
      <w:r>
        <w:rPr>
          <w:rFonts w:ascii="Arial" w:cs="Arial" w:eastAsia="Arial" w:hAnsi="Arial"/>
          <w:b w:val="false"/>
          <w:bCs w:val="false"/>
          <w:sz w:val="22"/>
          <w:szCs w:val="22"/>
        </w:rPr>
        <w:t xml:space="preserve">6. Crown 32–35: the original risk factors "remain relevant" and there is no "material reduction in risk." The Crown points to no risk having materialised. In over eleven years there has been no further sexual offence, no contact offence, no approach, and no communication of the kind that founded the conviction — which the Crown's own witness confirms (Facebook and Messenger inspected, no concerns). A risk that has not once materialised in that time has either fallen away or is so well self-managed that it no longer carries the weight it did in 2015.</w:t>
      </w:r>
    </w:p>
    <w:p>
      <w:pPr>
        <w:spacing w:after="160"/>
      </w:pPr>
      <w:r>
        <w:rPr>
          <w:rFonts w:ascii="Arial" w:cs="Arial" w:eastAsia="Arial" w:hAnsi="Arial"/>
          <w:b w:val="false"/>
          <w:bCs w:val="false"/>
          <w:sz w:val="22"/>
          <w:szCs w:val="22"/>
        </w:rPr>
        <w:t xml:space="preserve">7. Crown 36–37: "compliance alone does not establish that risk has abated." Compliance is not advanced alone. It sits with sobriety, faith, a correct diagnosis now treated, three examinations of my devices finding nothing (the latest 9 April 2026), and continued notification. The Crown cannot at once demand change and dismiss the clearest objective sign of it.</w:t>
      </w:r>
    </w:p>
    <w:p>
      <w:pPr>
        <w:spacing w:after="160"/>
      </w:pPr>
      <w:r>
        <w:rPr>
          <w:rFonts w:ascii="Arial" w:cs="Arial" w:eastAsia="Arial" w:hAnsi="Arial"/>
          <w:b w:val="false"/>
          <w:bCs w:val="false"/>
          <w:sz w:val="22"/>
          <w:szCs w:val="22"/>
        </w:rPr>
        <w:t xml:space="preserve">8. Crown 38: "resistance to supervision", clearing history, altering settings. I have never been charged or breached for any of it. Deletion occurred only after officers had inspected the device and was routine maintenance. The altered setting was, to my recollection, a location or battery setting. No breach or further action resulted.</w:t>
      </w:r>
    </w:p>
    <w:p>
      <w:pPr>
        <w:spacing w:after="160"/>
      </w:pPr>
      <w:r>
        <w:rPr>
          <w:rFonts w:ascii="Arial" w:cs="Arial" w:eastAsia="Arial" w:hAnsi="Arial"/>
          <w:b w:val="false"/>
          <w:bCs w:val="false"/>
          <w:sz w:val="22"/>
          <w:szCs w:val="22"/>
        </w:rPr>
        <w:t xml:space="preserve">9. Crown 39–41, 45: "continuing interest" in schoolgirl/teen/stepdaughter themes; "repeated admissions." The Crown's evidence is, on its own statement (39), one officer and historical records. The conduct that carried my sentence was communication with a child; that has been checked repeatedly and found absent. The material referred to is lawful adult pornography with adult performers; the search terms are how such content is found, not evidence of an attraction to children. Any acknowledgement of an attraction to "younger" people has always meant younger adults. My 2022 ARMS assessment rated Sexual Preoccupation LOW and overall priority MEDIUM. The recurrence of "admissions" reflects repeated questioning on one topic, not repeated volunteering.</w:t>
      </w:r>
    </w:p>
    <w:p>
      <w:pPr>
        <w:spacing w:after="160"/>
      </w:pPr>
      <w:r>
        <w:rPr>
          <w:rFonts w:ascii="Arial" w:cs="Arial" w:eastAsia="Arial" w:hAnsi="Arial"/>
          <w:b w:val="false"/>
          <w:bCs w:val="false"/>
          <w:sz w:val="22"/>
          <w:szCs w:val="22"/>
        </w:rPr>
        <w:t xml:space="preserve">10. Crown 14–20 (Lucy Faithfull, comic app): when I encountered material I had not sought, I reported it myself to my then officer, DC Riondino, as instructed. I contacted the Lucy Faithfull Foundation because my use of legal adult content was becoming excessive and I wanted to address it before it progressed. They did not assist me. Seeking help pre-emptively is insight, not risk.</w:t>
      </w:r>
    </w:p>
    <w:p>
      <w:pPr>
        <w:spacing w:after="160"/>
      </w:pPr>
      <w:r>
        <w:rPr>
          <w:rFonts w:ascii="Arial" w:cs="Arial" w:eastAsia="Arial" w:hAnsi="Arial"/>
          <w:b w:val="false"/>
          <w:bCs w:val="false"/>
          <w:sz w:val="22"/>
          <w:szCs w:val="22"/>
        </w:rPr>
        <w:t xml:space="preserve">11. Crown 17 ("delete all my kiddy pornography"): an offhand remark, of a kind consistent with my since-diagnosed ADHD, made immediately after my devices had been examined and found clean. It cannot rationally be read as evidence of hidden material or intent.</w:t>
      </w:r>
    </w:p>
    <w:p>
      <w:pPr>
        <w:spacing w:after="160"/>
      </w:pPr>
      <w:r>
        <w:rPr>
          <w:rFonts w:ascii="Arial" w:cs="Arial" w:eastAsia="Arial" w:hAnsi="Arial"/>
          <w:b w:val="false"/>
          <w:bCs w:val="false"/>
          <w:sz w:val="22"/>
          <w:szCs w:val="22"/>
        </w:rPr>
        <w:t xml:space="preserve">12. Crown 22–27 ("preference towards younger females", "obsession", "teenager at heart"): these are characterisations, and several misstate what I said. My stated preference is for adult women of a slimmer, shorter build — not teenagers, not children. I did not admit an "obsession", and I ask the Crown to identify where. "Teenager at heart" and "immature" were my own words, years ago, about the effects of an upbringing in care.</w:t>
      </w:r>
    </w:p>
    <w:p>
      <w:pPr>
        <w:spacing w:after="160"/>
      </w:pPr>
      <w:r>
        <w:rPr>
          <w:rFonts w:ascii="Arial" w:cs="Arial" w:eastAsia="Arial" w:hAnsi="Arial"/>
          <w:b w:val="false"/>
          <w:bCs w:val="false"/>
          <w:sz w:val="22"/>
          <w:szCs w:val="22"/>
        </w:rPr>
        <w:t xml:space="preserve">13. Crown 29, 43 (cartoon material; July 2024 alert): in each case the outcome was no further action and the matter closed. Had the cartoon images been unlawful I would have been charged. The July 2024 alert came from monitoring software, not from anything found on my devices. A regime that repeatedly produces nothing chargeable is evidence the risk is not materialising, not evidence the regime is needed.</w:t>
      </w:r>
    </w:p>
    <w:p>
      <w:pPr>
        <w:spacing w:after="160"/>
      </w:pPr>
      <w:r>
        <w:rPr>
          <w:rFonts w:ascii="Arial" w:cs="Arial" w:eastAsia="Arial" w:hAnsi="Arial"/>
          <w:b w:val="false"/>
          <w:bCs w:val="false"/>
          <w:sz w:val="22"/>
          <w:szCs w:val="22"/>
        </w:rPr>
        <w:t xml:space="preserve">14. Crown 31, 46 (October 2025 "refused entry"): I initially declined entry on an unannounced visit, in the absence of a warrant or arrest, having recently learned I was entitled to; I then let the officers in. I hold about an hour of video of that visit across three recordings. As a litigant in person I cannot lodge it through the Digital Case System. I have served the audio of the first recording with a transcript I have checked by hand, and will serve the other two; I ask the court to direct how the full footage is to be lodged and viewed.</w:t>
      </w:r>
    </w:p>
    <w:p>
      <w:pPr>
        <w:spacing w:after="160"/>
      </w:pPr>
      <w:r>
        <w:rPr>
          <w:rFonts w:ascii="Arial" w:cs="Arial" w:eastAsia="Arial" w:hAnsi="Arial"/>
          <w:b w:val="false"/>
          <w:bCs w:val="false"/>
          <w:sz w:val="22"/>
          <w:szCs w:val="22"/>
        </w:rPr>
        <w:t xml:space="preserve">15. Crown 44 ("inconsistent accounts"): my account has been consistent; what has varied is the officer's acceptance of it. The same conduct assessed by DC Riondino in 2022 is now portrayed differently.</w:t>
      </w:r>
    </w:p>
    <w:p>
      <w:pPr>
        <w:spacing w:after="160"/>
      </w:pPr>
      <w:r>
        <w:rPr>
          <w:rFonts w:ascii="Arial" w:cs="Arial" w:eastAsia="Arial" w:hAnsi="Arial"/>
          <w:b w:val="false"/>
          <w:bCs w:val="false"/>
          <w:sz w:val="22"/>
          <w:szCs w:val="22"/>
        </w:rPr>
        <w:t xml:space="preserve">16. Crown 46 ("failed to engage"): I have provided what is required. I decline only private medical matters and the affairs of third parties not subject to my order where no child is involved. Much of what is read as "difficult" is ADHD — bluntness, tangents, ill-timed humour — diagnosed in 2025 and not understood before.</w:t>
      </w:r>
    </w:p>
    <w:p>
      <w:pPr>
        <w:spacing w:after="160"/>
      </w:pPr>
      <w:r>
        <w:rPr>
          <w:rFonts w:ascii="Arial" w:cs="Arial" w:eastAsia="Arial" w:hAnsi="Arial"/>
          <w:b w:val="false"/>
          <w:bCs w:val="false"/>
          <w:sz w:val="22"/>
          <w:szCs w:val="22"/>
        </w:rPr>
        <w:t xml:space="preserve">17. Crown 48–52 (proportionality): the interference is not minor. Disclosures generated by the order have prevented me attending church and made friendships or a relationship untenable. Because the SHPO is indefinite, notification requirements that would have ended after ten years continue for as long as the order lasts. That is a significant, continuing consequence.</w:t>
      </w:r>
    </w:p>
    <w:p>
      <w:pPr>
        <w:spacing w:after="120" w:before="240"/>
      </w:pPr>
      <w:r>
        <w:rPr>
          <w:rFonts w:ascii="Arial" w:cs="Arial" w:eastAsia="Arial" w:hAnsi="Arial"/>
          <w:b/>
          <w:bCs/>
          <w:sz w:val="22"/>
          <w:szCs w:val="22"/>
        </w:rPr>
        <w:t xml:space="preserve">D. Response to the Crown's application to vary (Crown 57–64 and the draft order)</w:t>
      </w:r>
    </w:p>
    <w:p>
      <w:pPr>
        <w:spacing w:after="160"/>
      </w:pPr>
      <w:r>
        <w:rPr>
          <w:rFonts w:ascii="Arial" w:cs="Arial" w:eastAsia="Arial" w:hAnsi="Arial"/>
          <w:b w:val="false"/>
          <w:bCs w:val="false"/>
          <w:sz w:val="22"/>
          <w:szCs w:val="22"/>
        </w:rPr>
        <w:t xml:space="preserve">18. Form and basis. The application is made on the section 103A/103F form and states that I have "been charged with a qualifying offence." I have not. The arrest of 15 August 2025 resulted in no further action (DC Cummings, 6 April 2026, p.7). The Crown's skeleton says the application is under section 103E. I ask the court to note the basis on which it is actually made.</w:t>
      </w:r>
    </w:p>
    <w:p>
      <w:pPr>
        <w:spacing w:after="160"/>
      </w:pPr>
      <w:r>
        <w:rPr>
          <w:rFonts w:ascii="Arial" w:cs="Arial" w:eastAsia="Arial" w:hAnsi="Arial"/>
          <w:b w:val="false"/>
          <w:bCs w:val="false"/>
          <w:sz w:val="22"/>
          <w:szCs w:val="22"/>
        </w:rPr>
        <w:t xml:space="preserve">19. Evidential basis. Under nearly every proposed condition the application states as fact that on the devices seized in July 2024 I "was reviewing Prohibited Images", and that no charge "may have been due to" my use of bypass software. DC Cummings' own statement says "potentially" and that "there were no offences revealed" (6 April 2026, p.8); the Crown's skeleton (43) says "potential access"; the matter was closed. No finding of prohibited images on any device of mine has ever been made. The bypass suggestion is speculation, contradicted by three device examinations that found nothing. A variation cannot be founded on an allegation the police themselves closed.</w:t>
      </w:r>
    </w:p>
    <w:p>
      <w:pPr>
        <w:spacing w:after="160"/>
      </w:pPr>
      <w:r>
        <w:rPr>
          <w:rFonts w:ascii="Arial" w:cs="Arial" w:eastAsia="Arial" w:hAnsi="Arial"/>
          <w:b w:val="false"/>
          <w:bCs w:val="false"/>
          <w:sz w:val="22"/>
          <w:szCs w:val="22"/>
        </w:rPr>
        <w:t xml:space="preserve">20. "Demonstrated sexual preoccupation" (Crown 58; DC Cummings p.8 "extremely high Sexual Pre-Occupation"). The only structured assessment, ARMS 2022, rated Sexual Preoccupation LOW. Nothing since has re-assessed it. I did not "admit" it; that is the officer's characterisation.</w:t>
      </w:r>
    </w:p>
    <w:p>
      <w:pPr>
        <w:spacing w:after="160"/>
      </w:pPr>
      <w:r>
        <w:rPr>
          <w:rFonts w:ascii="Arial" w:cs="Arial" w:eastAsia="Arial" w:hAnsi="Arial"/>
          <w:b w:val="false"/>
          <w:bCs w:val="false"/>
          <w:sz w:val="22"/>
          <w:szCs w:val="22"/>
        </w:rPr>
        <w:t xml:space="preserve">21. The 2008 matter. DC Cummings' statement of 25 August 2026 corrects her earlier statement: the 2008 registration was revoked on 18 June 2008 by DJ Morris. The application nonetheless cites the 2008 conviction, under several conditions, as justification for new terms in 2026.</w:t>
      </w:r>
    </w:p>
    <w:p>
      <w:pPr>
        <w:spacing w:after="160"/>
      </w:pPr>
      <w:r>
        <w:rPr>
          <w:rFonts w:ascii="Arial" w:cs="Arial" w:eastAsia="Arial" w:hAnsi="Arial"/>
          <w:b w:val="false"/>
          <w:bCs w:val="false"/>
          <w:sz w:val="22"/>
          <w:szCs w:val="22"/>
        </w:rPr>
        <w:t xml:space="preserve">22. Technology (Crown 60–62). That VPNs, encryption and cloud storage exist is a general observation, not evidence about me. Parsons requires terms tailored to the facts of the case; no fact about my use of any such technology is identified.</w:t>
      </w:r>
    </w:p>
    <w:p>
      <w:pPr>
        <w:spacing w:after="160"/>
      </w:pPr>
      <w:r>
        <w:rPr>
          <w:rFonts w:ascii="Arial" w:cs="Arial" w:eastAsia="Arial" w:hAnsi="Arial"/>
          <w:b w:val="false"/>
          <w:bCs w:val="false"/>
          <w:sz w:val="22"/>
          <w:szCs w:val="22"/>
        </w:rPr>
        <w:t xml:space="preserve">23. The proposed terms individually:</w:t>
      </w:r>
    </w:p>
    <w:p>
      <w:pPr>
        <w:spacing w:after="160"/>
      </w:pPr>
      <w:r>
        <w:rPr>
          <w:rFonts w:ascii="Arial" w:cs="Arial" w:eastAsia="Arial" w:hAnsi="Arial"/>
          <w:b w:val="false"/>
          <w:bCs w:val="false"/>
          <w:sz w:val="22"/>
          <w:szCs w:val="22"/>
        </w:rPr>
        <w:t xml:space="preserve">(a) Ban on any iOS device — justified only by the monitoring company's software not running on iOS. That is a limitation of the police's supplier, not a risk I present.</w:t>
      </w:r>
    </w:p>
    <w:p>
      <w:pPr>
        <w:spacing w:after="160"/>
      </w:pPr>
      <w:r>
        <w:rPr>
          <w:rFonts w:ascii="Arial" w:cs="Arial" w:eastAsia="Arial" w:hAnsi="Arial"/>
          <w:b w:val="false"/>
          <w:bCs w:val="false"/>
          <w:sz w:val="22"/>
          <w:szCs w:val="22"/>
        </w:rPr>
        <w:t xml:space="preserve">(b) No social network profile, messaging service or chat service "of any kind" — a blanket ban, the kind Smith and Parsons hold oppressive. The Crown's own witness inspected Facebook and Messenger and found no concerns; the August 2025 "active on social media" information led to no action.</w:t>
      </w:r>
    </w:p>
    <w:p>
      <w:pPr>
        <w:spacing w:after="160"/>
      </w:pPr>
      <w:r>
        <w:rPr>
          <w:rFonts w:ascii="Arial" w:cs="Arial" w:eastAsia="Arial" w:hAnsi="Arial"/>
          <w:b w:val="false"/>
          <w:bCs w:val="false"/>
          <w:sz w:val="22"/>
          <w:szCs w:val="22"/>
        </w:rPr>
        <w:t xml:space="preserve">(c) No unsupervised contact with any person under 18 — nothing in eleven years alleges any contact, approach or attempt. The term is not tailored to any identified risk and would reach every ordinary encounter.</w:t>
      </w:r>
    </w:p>
    <w:p>
      <w:pPr>
        <w:spacing w:after="160"/>
      </w:pPr>
      <w:r>
        <w:rPr>
          <w:rFonts w:ascii="Arial" w:cs="Arial" w:eastAsia="Arial" w:hAnsi="Arial"/>
          <w:b w:val="false"/>
          <w:bCs w:val="false"/>
          <w:sz w:val="22"/>
          <w:szCs w:val="22"/>
        </w:rPr>
        <w:t xml:space="preserve">(d) Cloud storage, VPN, wiping, encryption, alternative operating systems, TOR, false details — each is justified by the same closed July 2024 allegation in paragraph 19. The existing order already requires history to be retained, devices to be produced and monitoring software to be allowed.</w:t>
      </w:r>
    </w:p>
    <w:p>
      <w:pPr>
        <w:spacing w:after="160"/>
      </w:pPr>
      <w:r>
        <w:rPr>
          <w:rFonts w:ascii="Arial" w:cs="Arial" w:eastAsia="Arial" w:hAnsi="Arial"/>
          <w:b w:val="false"/>
          <w:bCs w:val="false"/>
          <w:sz w:val="22"/>
          <w:szCs w:val="22"/>
        </w:rPr>
        <w:t xml:space="preserve">(e) Disposal of devices — the application says I have "previously disposed of devices without permission." No such incident appears in either of DC Cummings' statements.</w:t>
      </w:r>
    </w:p>
    <w:p>
      <w:pPr>
        <w:spacing w:after="160"/>
      </w:pPr>
      <w:r>
        <w:rPr>
          <w:rFonts w:ascii="Arial" w:cs="Arial" w:eastAsia="Arial" w:hAnsi="Arial"/>
          <w:b w:val="false"/>
          <w:bCs w:val="false"/>
          <w:sz w:val="22"/>
          <w:szCs w:val="22"/>
        </w:rPr>
        <w:t xml:space="preserve">24. If the court is not minded to discharge, I ask it to refuse the variation as unnecessary and disproportionate, and to consider narrowing the existing order to clear, time-limited terms.</w:t>
      </w:r>
    </w:p>
    <w:p>
      <w:pPr>
        <w:spacing w:after="120" w:before="240"/>
      </w:pPr>
      <w:r>
        <w:rPr>
          <w:rFonts w:ascii="Arial" w:cs="Arial" w:eastAsia="Arial" w:hAnsi="Arial"/>
          <w:b/>
          <w:bCs/>
          <w:sz w:val="22"/>
          <w:szCs w:val="22"/>
        </w:rPr>
        <w:t xml:space="preserve">E. What has materially changed</w:t>
      </w:r>
    </w:p>
    <w:p>
      <w:pPr>
        <w:spacing w:after="160"/>
      </w:pPr>
      <w:r>
        <w:rPr>
          <w:rFonts w:ascii="Arial" w:cs="Arial" w:eastAsia="Arial" w:hAnsi="Arial"/>
          <w:b w:val="false"/>
          <w:bCs w:val="false"/>
          <w:sz w:val="22"/>
          <w:szCs w:val="22"/>
        </w:rPr>
        <w:t xml:space="preserve">25. Sobriety (in my medical records). ADHD diagnosed 27 February 2025, treated and stable — behaviour formerly labelled "personality disorder", and latterly "manipulative", is an explained and treated condition. Faith. More than a decade with no sexual or contact offending. Three device examinations finding nothing, the seized devices returned and matters closed. ARMS: MEDIUM overall; Sexual Preoccupation, Hostile Orientation and Emotional Congruence with Children all LOW. Insight expressed and accepted at sentencing in 2015 and set out in depth in my application of 9 February 2026.</w:t>
      </w:r>
    </w:p>
    <w:p>
      <w:pPr>
        <w:spacing w:after="160"/>
      </w:pPr>
      <w:r>
        <w:rPr>
          <w:rFonts w:ascii="Arial" w:cs="Arial" w:eastAsia="Arial" w:hAnsi="Arial"/>
          <w:b w:val="false"/>
          <w:bCs w:val="false"/>
          <w:sz w:val="22"/>
          <w:szCs w:val="22"/>
        </w:rPr>
        <w:t xml:space="preserve">26. The assertion that an isolated man poses a future risk rests on group statistics. The conditions said to predict reoffending — time and isolation — have been present for over a decade, and the result has been nothing.</w:t>
      </w:r>
    </w:p>
    <w:p>
      <w:pPr>
        <w:spacing w:after="120" w:before="240"/>
      </w:pPr>
      <w:r>
        <w:rPr>
          <w:rFonts w:ascii="Arial" w:cs="Arial" w:eastAsia="Arial" w:hAnsi="Arial"/>
          <w:b/>
          <w:bCs/>
          <w:sz w:val="22"/>
          <w:szCs w:val="22"/>
        </w:rPr>
        <w:t xml:space="preserve">F. Conclusion</w:t>
      </w:r>
    </w:p>
    <w:p>
      <w:pPr>
        <w:spacing w:after="160"/>
      </w:pPr>
      <w:r>
        <w:rPr>
          <w:rFonts w:ascii="Arial" w:cs="Arial" w:eastAsia="Arial" w:hAnsi="Arial"/>
          <w:b w:val="false"/>
          <w:bCs w:val="false"/>
          <w:sz w:val="22"/>
          <w:szCs w:val="22"/>
        </w:rPr>
        <w:t xml:space="preserve">27. The Crown asks the court to keep an indefinite order in force, and to widen it, on the basis of one officer's characterisations and a closed allegation — none of which evidences any sexual harm, sexual offence or relevant contact in over a decade. Against that stands an objective body of change.</w:t>
      </w:r>
    </w:p>
    <w:p>
      <w:pPr>
        <w:spacing w:after="160"/>
      </w:pPr>
      <w:r>
        <w:rPr>
          <w:rFonts w:ascii="Arial" w:cs="Arial" w:eastAsia="Arial" w:hAnsi="Arial"/>
          <w:b w:val="false"/>
          <w:bCs w:val="false"/>
          <w:sz w:val="22"/>
          <w:szCs w:val="22"/>
        </w:rPr>
        <w:t xml:space="preserve">28. I ask the court to discharge the order. In the alternative, to refuse the Crown's variation and vary the existing order to less intrusive, time-limited and unambiguous terms.</w:t>
      </w:r>
    </w:p>
    <w:p>
      <w:pPr>
        <w:spacing w:after="160"/>
      </w:pPr>
      <w:r>
        <w:rPr>
          <w:rFonts w:ascii="Arial" w:cs="Arial" w:eastAsia="Arial" w:hAnsi="Arial"/>
          <w:b w:val="false"/>
          <w:bCs w:val="false"/>
          <w:sz w:val="22"/>
          <w:szCs w:val="22"/>
        </w:rPr>
        <w:t xml:space="preserve"/>
      </w:r>
    </w:p>
    <w:p>
      <w:pPr>
        <w:spacing w:after="160"/>
      </w:pPr>
      <w:r>
        <w:rPr>
          <w:rFonts w:ascii="Arial" w:cs="Arial" w:eastAsia="Arial" w:hAnsi="Arial"/>
          <w:b w:val="false"/>
          <w:bCs w:val="false"/>
          <w:sz w:val="22"/>
          <w:szCs w:val="22"/>
        </w:rPr>
        <w:t xml:space="preserve">Rocky Mark Alberone — Litigant in person — 7 September 2026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2026-09-06T19:04:37.625Z</dcterms:created>
  <dcterms:modified xsi:type="dcterms:W3CDTF">2026-09-06T19:04:37.636Z</dcterms:modified>
</cp:coreProperties>
</file>

<file path=docProps/custom.xml><?xml version="1.0" encoding="utf-8"?>
<Properties xmlns="http://schemas.openxmlformats.org/officeDocument/2006/custom-properties" xmlns:vt="http://schemas.openxmlformats.org/officeDocument/2006/docPropsVTypes"/>
</file>